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>What is BERF?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 xml:space="preserve">Basic Education Research Fund 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</w:p>
    <w:p w:rsidR="001D3C58" w:rsidRPr="00EE2C6E" w:rsidRDefault="001D3C58" w:rsidP="001D3C58">
      <w:pPr>
        <w:pStyle w:val="ListParagraph"/>
        <w:numPr>
          <w:ilvl w:val="0"/>
          <w:numId w:val="1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to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provide guidance in managing research initiatives in the national, regional, schools division, and school levels.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The also improves support mechanisms for research such as funding, partnerships, and capacity building.</w:t>
      </w:r>
    </w:p>
    <w:p w:rsidR="001D3C58" w:rsidRPr="00EE2C6E" w:rsidRDefault="001D3C58" w:rsidP="001D3C58">
      <w:pPr>
        <w:pStyle w:val="ListParagraph"/>
        <w:numPr>
          <w:ilvl w:val="0"/>
          <w:numId w:val="1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It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is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built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on the gains in evidence-based decision-making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from various education reforms or initiatives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to strengthen the culture of research in the Department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.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u w:val="single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 xml:space="preserve">Who are qualified proponents? 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>(</w:t>
      </w: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>for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  <w:t xml:space="preserve"> BERF)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</w:rPr>
      </w:pP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</w:rPr>
        <w:t>1.Regular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</w:rPr>
        <w:t>/Permanent teaching and non-teaching personnel of DepEd.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>2. Ages 21-60 years old.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3. Salary grade of at least 11.4. </w:t>
      </w: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proponent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should have no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4. </w:t>
      </w: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pending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administrative case.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5. A research proponent can only avail the grant once a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year.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6. The maximum team research members shall not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exceed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three. </w:t>
      </w: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  <w:r w:rsidRPr="00EE2C6E">
        <w:rPr>
          <w:rFonts w:ascii="Tahoma" w:hAnsi="Tahoma" w:cs="Tahoma"/>
          <w:b/>
        </w:rPr>
        <w:tab/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 xml:space="preserve">What are the </w:t>
      </w:r>
      <w:proofErr w:type="gramStart"/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>requirements</w:t>
      </w:r>
      <w:proofErr w:type="gramEnd"/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1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Project proposals must have an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Aerial font style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and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10 font size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2.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Proposa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l must be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20 pages only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excluding curriculum vitae.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3. The proponent must subject his/her proposal on or before the deadline of submission at the Division Office.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4. The proponent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must submit a hard and soft copy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5. Proponents must fill-out and submit the following: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A. Proponent’s personal information duly signed by his/her </w:t>
      </w:r>
      <w:proofErr w:type="gramStart"/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immediate  superior</w:t>
      </w:r>
      <w:proofErr w:type="gramEnd"/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/ principal.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B. Anti-plagiarism, etc. </w:t>
      </w:r>
    </w:p>
    <w:p w:rsidR="001D3C58" w:rsidRPr="00EE2C6E" w:rsidRDefault="001D3C58" w:rsidP="001D3C58">
      <w:pPr>
        <w:pStyle w:val="ListParagraph"/>
        <w:numPr>
          <w:ilvl w:val="0"/>
          <w:numId w:val="2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3"/>
        </w:numPr>
        <w:ind w:left="540" w:hanging="540"/>
        <w:rPr>
          <w:b/>
          <w:color w:val="EEEBE3"/>
          <w:sz w:val="22"/>
          <w:szCs w:val="22"/>
          <w:u w:val="single"/>
        </w:rPr>
      </w:pPr>
      <w:r w:rsidRPr="00EE2C6E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  <w:lang w:val="en-US"/>
        </w:rPr>
        <w:t>To get funding from Basic Research Fund (BERF)</w:t>
      </w:r>
    </w:p>
    <w:p w:rsidR="001D3C58" w:rsidRPr="00EE2C6E" w:rsidRDefault="001D3C58" w:rsidP="001D3C58">
      <w:pPr>
        <w:spacing w:after="0" w:line="240" w:lineRule="auto"/>
        <w:ind w:left="540" w:hanging="540"/>
        <w:rPr>
          <w:rFonts w:ascii="Tahoma" w:hAnsi="Tahoma" w:cs="Tahoma"/>
          <w:b/>
          <w:bCs/>
          <w:color w:val="000000" w:themeColor="text1"/>
          <w:lang w:val="en-US"/>
        </w:rPr>
      </w:pP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en-PH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ab/>
        <w:t xml:space="preserve">Basic Research –   </w:t>
      </w:r>
      <w:proofErr w:type="spell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>Php</w:t>
      </w:r>
      <w:proofErr w:type="spell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 xml:space="preserve">. 150,000 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 xml:space="preserve">  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ab/>
        <w:t xml:space="preserve">Action Research – </w:t>
      </w:r>
      <w:proofErr w:type="spell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>Php</w:t>
      </w:r>
      <w:proofErr w:type="spell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  <w:t>. 30,000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lang w:val="en-US" w:eastAsia="en-PH"/>
        </w:rPr>
      </w:pP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en-PH"/>
        </w:rPr>
      </w:pPr>
    </w:p>
    <w:p w:rsidR="001D3C58" w:rsidRPr="00EE2C6E" w:rsidRDefault="001D3C58" w:rsidP="001D3C58">
      <w:pPr>
        <w:spacing w:after="0" w:line="240" w:lineRule="auto"/>
        <w:ind w:left="540" w:hanging="540"/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</w:rPr>
        <w:t>Funding: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  <w:u w:val="single"/>
        </w:rPr>
        <w:t>Basic Research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  <w:u w:val="single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 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  <w:u w:val="single"/>
        </w:rPr>
        <w:t>Action Research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First Tranche             20%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       70%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Second Tranche        40%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                  30%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Third Tranche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30%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    _______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Last Tranche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    10%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 xml:space="preserve"> 100%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                              ______   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  <w:t xml:space="preserve">                    100%</w:t>
      </w: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4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sz w:val="22"/>
          <w:szCs w:val="22"/>
        </w:rPr>
        <w:t>Duration of the research project</w:t>
      </w:r>
    </w:p>
    <w:p w:rsidR="001D3C58" w:rsidRPr="00EE2C6E" w:rsidRDefault="001D3C58" w:rsidP="001D3C58">
      <w:pPr>
        <w:spacing w:after="0" w:line="240" w:lineRule="auto"/>
        <w:ind w:left="540" w:hanging="540"/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</w:rPr>
      </w:pPr>
    </w:p>
    <w:p w:rsidR="001D3C58" w:rsidRPr="00EE2C6E" w:rsidRDefault="001D3C58" w:rsidP="001D3C58">
      <w:pPr>
        <w:pStyle w:val="ListParagraph"/>
        <w:numPr>
          <w:ilvl w:val="0"/>
          <w:numId w:val="5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Action Research  maximum of 6 months</w:t>
      </w:r>
    </w:p>
    <w:p w:rsidR="001D3C58" w:rsidRPr="00EE2C6E" w:rsidRDefault="001D3C58" w:rsidP="001D3C58">
      <w:pPr>
        <w:pStyle w:val="ListParagraph"/>
        <w:numPr>
          <w:ilvl w:val="0"/>
          <w:numId w:val="5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Basic Research – maximum of 1 year</w:t>
      </w:r>
    </w:p>
    <w:p w:rsidR="001D3C58" w:rsidRPr="00EE2C6E" w:rsidRDefault="001D3C58" w:rsidP="001D3C58">
      <w:pPr>
        <w:ind w:left="540" w:hanging="540"/>
        <w:rPr>
          <w:rFonts w:ascii="Tahoma" w:hAnsi="Tahoma" w:cs="Tahoma"/>
          <w:color w:val="EEEBE3"/>
        </w:rPr>
      </w:pPr>
      <w:r w:rsidRPr="00EE2C6E">
        <w:rPr>
          <w:rFonts w:ascii="Tahoma" w:hAnsi="Tahoma" w:cs="Tahoma"/>
          <w:color w:val="EEEBE3"/>
        </w:rPr>
        <w:t>\</w:t>
      </w:r>
    </w:p>
    <w:p w:rsidR="001D3C58" w:rsidRPr="00EE2C6E" w:rsidRDefault="001D3C58" w:rsidP="001D3C58">
      <w:pPr>
        <w:pStyle w:val="ListParagraph"/>
        <w:numPr>
          <w:ilvl w:val="0"/>
          <w:numId w:val="5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hAnsi="Tahoma" w:cs="Tahoma"/>
          <w:color w:val="EEEBE3"/>
          <w:sz w:val="22"/>
          <w:szCs w:val="22"/>
        </w:rPr>
        <w:tab/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sz w:val="22"/>
          <w:szCs w:val="22"/>
        </w:rPr>
        <w:t>Scope/Coverage of a Research  Project</w:t>
      </w:r>
    </w:p>
    <w:p w:rsidR="001D3C58" w:rsidRPr="00EE2C6E" w:rsidRDefault="001D3C58" w:rsidP="001D3C58">
      <w:pPr>
        <w:pStyle w:val="ListParagraph"/>
        <w:numPr>
          <w:ilvl w:val="0"/>
          <w:numId w:val="5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5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sz w:val="22"/>
          <w:szCs w:val="22"/>
        </w:rPr>
        <w:t xml:space="preserve">Basic Research - 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Division wide ( at least 2 Districts)</w:t>
      </w:r>
    </w:p>
    <w:p w:rsidR="001D3C58" w:rsidRPr="00EE2C6E" w:rsidRDefault="001D3C58" w:rsidP="001D3C58">
      <w:pPr>
        <w:pStyle w:val="ListParagraph"/>
        <w:numPr>
          <w:ilvl w:val="0"/>
          <w:numId w:val="6"/>
        </w:numPr>
        <w:ind w:left="540" w:hanging="540"/>
        <w:rPr>
          <w:rFonts w:ascii="Tahoma" w:hAnsi="Tahoma" w:cs="Tahoma"/>
          <w:b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Action Research – School wide (Classroom Setting)</w:t>
      </w:r>
    </w:p>
    <w:p w:rsidR="001D3C58" w:rsidRPr="00EE2C6E" w:rsidRDefault="001D3C58" w:rsidP="001D3C58">
      <w:pPr>
        <w:pStyle w:val="ListParagraph"/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Theme="majorHAnsi" w:eastAsiaTheme="minorEastAsia" w:hAnsi="Century Gothic"/>
          <w:b/>
          <w:color w:val="000000" w:themeColor="text1"/>
          <w:kern w:val="24"/>
          <w:position w:val="1"/>
        </w:rPr>
      </w:pPr>
      <w:r w:rsidRPr="00EE2C6E">
        <w:rPr>
          <w:rFonts w:asciiTheme="majorHAnsi" w:eastAsiaTheme="minorEastAsia" w:hAnsi="Century Gothic"/>
          <w:b/>
          <w:color w:val="000000" w:themeColor="text1"/>
          <w:kern w:val="24"/>
          <w:position w:val="1"/>
        </w:rPr>
        <w:t>What about my research adviser?</w:t>
      </w:r>
    </w:p>
    <w:p w:rsidR="001D3C58" w:rsidRPr="00EE2C6E" w:rsidRDefault="001D3C58" w:rsidP="001D3C58">
      <w:pPr>
        <w:spacing w:after="0" w:line="240" w:lineRule="auto"/>
        <w:ind w:left="540" w:hanging="540"/>
        <w:rPr>
          <w:rFonts w:asciiTheme="majorHAnsi" w:eastAsiaTheme="minorEastAsia" w:hAnsi="Century Gothic"/>
          <w:b/>
          <w:color w:val="000000" w:themeColor="text1"/>
          <w:kern w:val="24"/>
          <w:position w:val="1"/>
        </w:rPr>
      </w:pPr>
    </w:p>
    <w:p w:rsidR="001D3C58" w:rsidRPr="00EE2C6E" w:rsidRDefault="001D3C58" w:rsidP="001D3C58">
      <w:pPr>
        <w:pStyle w:val="ListParagraph"/>
        <w:numPr>
          <w:ilvl w:val="0"/>
          <w:numId w:val="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color w:val="000000" w:themeColor="text1"/>
          <w:kern w:val="24"/>
          <w:sz w:val="22"/>
          <w:szCs w:val="22"/>
        </w:rPr>
        <w:t>The Division Research Specialist and the Schools Division Superintendent will be your advisers.</w:t>
      </w:r>
    </w:p>
    <w:p w:rsidR="001D3C58" w:rsidRPr="00EE2C6E" w:rsidRDefault="001D3C58" w:rsidP="001D3C58">
      <w:pPr>
        <w:pStyle w:val="ListParagraph"/>
        <w:numPr>
          <w:ilvl w:val="0"/>
          <w:numId w:val="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color w:val="000000" w:themeColor="text1"/>
          <w:kern w:val="24"/>
          <w:sz w:val="22"/>
          <w:szCs w:val="22"/>
        </w:rPr>
        <w:t>Reference: D.O  43 s. of 2015</w:t>
      </w:r>
    </w:p>
    <w:p w:rsidR="001D3C58" w:rsidRPr="00EE2C6E" w:rsidRDefault="001D3C58" w:rsidP="001D3C58">
      <w:pPr>
        <w:ind w:left="540" w:hanging="540"/>
        <w:rPr>
          <w:b/>
          <w:color w:val="EEEBE3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ind w:left="540" w:hanging="540"/>
        <w:rPr>
          <w:rFonts w:ascii="Tahoma" w:hAnsi="Tahoma" w:cs="Tahoma"/>
          <w:b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 xml:space="preserve">How and when to submit? </w:t>
      </w:r>
      <w:proofErr w:type="gramStart"/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>( For</w:t>
      </w:r>
      <w:proofErr w:type="gramEnd"/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 xml:space="preserve"> those who want to be funded)</w:t>
      </w:r>
    </w:p>
    <w:p w:rsidR="001D3C58" w:rsidRPr="00EE2C6E" w:rsidRDefault="001D3C58" w:rsidP="001D3C58">
      <w:pPr>
        <w:ind w:left="540" w:hanging="540"/>
        <w:rPr>
          <w:rFonts w:ascii="Tahoma" w:hAnsi="Tahoma" w:cs="Tahoma"/>
        </w:rPr>
      </w:pPr>
    </w:p>
    <w:p w:rsidR="001D3C58" w:rsidRPr="00EE2C6E" w:rsidRDefault="001D3C58" w:rsidP="001D3C58">
      <w:pPr>
        <w:numPr>
          <w:ilvl w:val="0"/>
          <w:numId w:val="8"/>
        </w:numPr>
        <w:spacing w:line="240" w:lineRule="auto"/>
        <w:ind w:left="540" w:hanging="540"/>
        <w:jc w:val="both"/>
        <w:rPr>
          <w:rFonts w:ascii="Tahoma" w:hAnsi="Tahoma" w:cs="Tahoma"/>
        </w:rPr>
      </w:pPr>
      <w:r w:rsidRPr="00EE2C6E">
        <w:rPr>
          <w:rFonts w:ascii="Tahoma" w:hAnsi="Tahoma" w:cs="Tahoma"/>
          <w:bCs/>
        </w:rPr>
        <w:t xml:space="preserve">DepEd Central Office releases a DepEd memo for some guidelines, </w:t>
      </w:r>
    </w:p>
    <w:p w:rsidR="001D3C58" w:rsidRPr="00EE2C6E" w:rsidRDefault="001D3C58" w:rsidP="001D3C58">
      <w:pPr>
        <w:spacing w:line="240" w:lineRule="auto"/>
        <w:ind w:left="540" w:hanging="540"/>
        <w:jc w:val="both"/>
        <w:rPr>
          <w:rFonts w:ascii="Tahoma" w:hAnsi="Tahoma" w:cs="Tahoma"/>
        </w:rPr>
      </w:pPr>
      <w:proofErr w:type="gramStart"/>
      <w:r w:rsidRPr="00EE2C6E">
        <w:rPr>
          <w:rFonts w:ascii="Tahoma" w:hAnsi="Tahoma" w:cs="Tahoma"/>
          <w:bCs/>
        </w:rPr>
        <w:t>the</w:t>
      </w:r>
      <w:proofErr w:type="gramEnd"/>
      <w:r w:rsidRPr="00EE2C6E">
        <w:rPr>
          <w:rFonts w:ascii="Tahoma" w:hAnsi="Tahoma" w:cs="Tahoma"/>
          <w:bCs/>
        </w:rPr>
        <w:t xml:space="preserve"> PPRD Regional Office will release a regional memo for Call-ups. </w:t>
      </w:r>
    </w:p>
    <w:p w:rsidR="001D3C58" w:rsidRPr="00EE2C6E" w:rsidRDefault="001D3C58" w:rsidP="001D3C58">
      <w:pPr>
        <w:pStyle w:val="ListParagraph"/>
        <w:numPr>
          <w:ilvl w:val="0"/>
          <w:numId w:val="8"/>
        </w:numPr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sz w:val="22"/>
          <w:szCs w:val="22"/>
        </w:rPr>
        <w:t>The Division office will then announce</w:t>
      </w:r>
      <w:r w:rsidRPr="00EE2C6E">
        <w:rPr>
          <w:rFonts w:ascii="Tahoma" w:hAnsi="Tahoma" w:cs="Tahoma"/>
          <w:bCs/>
          <w:sz w:val="22"/>
          <w:szCs w:val="22"/>
        </w:rPr>
        <w:t>d and release a division memo</w:t>
      </w:r>
    </w:p>
    <w:p w:rsidR="001D3C58" w:rsidRPr="00EE2C6E" w:rsidRDefault="001D3C58" w:rsidP="001D3C58">
      <w:pPr>
        <w:spacing w:line="240" w:lineRule="auto"/>
        <w:ind w:left="540" w:hanging="540"/>
        <w:jc w:val="both"/>
        <w:rPr>
          <w:rFonts w:ascii="Tahoma" w:hAnsi="Tahoma" w:cs="Tahoma"/>
        </w:rPr>
      </w:pPr>
      <w:proofErr w:type="gramStart"/>
      <w:r w:rsidRPr="00EE2C6E">
        <w:rPr>
          <w:rFonts w:ascii="Tahoma" w:hAnsi="Tahoma" w:cs="Tahoma"/>
          <w:bCs/>
        </w:rPr>
        <w:t>for</w:t>
      </w:r>
      <w:proofErr w:type="gramEnd"/>
      <w:r w:rsidRPr="00EE2C6E">
        <w:rPr>
          <w:rFonts w:ascii="Tahoma" w:hAnsi="Tahoma" w:cs="Tahoma"/>
          <w:bCs/>
        </w:rPr>
        <w:t xml:space="preserve"> research call-up.       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</w:rPr>
      </w:pPr>
      <w:r w:rsidRPr="00EE2C6E">
        <w:rPr>
          <w:rFonts w:ascii="Tahoma" w:hAnsi="Tahoma" w:cs="Tahoma"/>
          <w:bCs/>
        </w:rPr>
        <w:t>3. Interested proponents from the field are welcome to submit a copy of his/her proposal to the division office through the Research Specialist for review/evaluation</w:t>
      </w:r>
      <w:r w:rsidRPr="00EE2C6E">
        <w:rPr>
          <w:rFonts w:ascii="Tahoma" w:hAnsi="Tahoma" w:cs="Tahoma"/>
        </w:rPr>
        <w:t xml:space="preserve"> </w:t>
      </w:r>
      <w:r w:rsidRPr="00EE2C6E">
        <w:rPr>
          <w:rFonts w:ascii="Tahoma" w:hAnsi="Tahoma" w:cs="Tahoma"/>
          <w:bCs/>
        </w:rPr>
        <w:t xml:space="preserve">of requirements and for some revisions. </w:t>
      </w:r>
    </w:p>
    <w:p w:rsidR="001D3C58" w:rsidRPr="00EE2C6E" w:rsidRDefault="001D3C58" w:rsidP="001D3C58">
      <w:pPr>
        <w:pStyle w:val="ListParagraph"/>
        <w:ind w:left="540" w:hanging="540"/>
        <w:jc w:val="both"/>
        <w:rPr>
          <w:rFonts w:ascii="Tahoma" w:hAnsi="Tahoma" w:cs="Tahoma"/>
          <w:bCs/>
          <w:sz w:val="22"/>
          <w:szCs w:val="22"/>
        </w:rPr>
      </w:pPr>
      <w:r w:rsidRPr="00EE2C6E">
        <w:rPr>
          <w:rFonts w:ascii="Tahoma" w:eastAsiaTheme="minorEastAsia" w:hAnsi="Tahoma" w:cs="Tahoma"/>
          <w:bCs/>
          <w:sz w:val="22"/>
          <w:szCs w:val="22"/>
        </w:rPr>
        <w:t xml:space="preserve">4. The research specialist will then sit with the Schools Division 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</w:rPr>
      </w:pPr>
      <w:r w:rsidRPr="00EE2C6E">
        <w:rPr>
          <w:rFonts w:ascii="Tahoma" w:hAnsi="Tahoma" w:cs="Tahoma"/>
          <w:bCs/>
        </w:rPr>
        <w:t>Research Committee (SDRC)</w:t>
      </w:r>
      <w:r w:rsidRPr="00EE2C6E">
        <w:rPr>
          <w:rFonts w:ascii="Tahoma" w:eastAsiaTheme="minorEastAsia" w:hAnsi="Tahoma" w:cs="Tahoma"/>
          <w:bCs/>
        </w:rPr>
        <w:t xml:space="preserve"> headed by the ASDS as Chairman for deliberation/evaluation of proposals. 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  <w:color w:val="EEEBE3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lastRenderedPageBreak/>
        <w:t xml:space="preserve">5. The SDRC will give scores on the research proposals basing on the template, in consonance to the DepEd Order No. 49, s. 2017 titled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>“ Revised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Guidelines on Research Management.” 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  <w:color w:val="EEEBE3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 xml:space="preserve">6. Research proposals that can have a score of 70% above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>will be submitted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to the Regional Office.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7. At the Regional Office, the RRC secretariat will then evaluate as to the requirements of proposals.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8. The PPRD RO6 will call the TWC (Technical Working Committee for a thorough evaluation of the submitted</w:t>
      </w:r>
      <w:r w:rsidRPr="00EE2C6E">
        <w:rPr>
          <w:rFonts w:asciiTheme="minorHAnsi" w:eastAsiaTheme="minorEastAsia" w:hAnsi="Century Gothic" w:cstheme="minorBidi"/>
          <w:bCs/>
          <w:color w:val="000000" w:themeColor="text1"/>
          <w:kern w:val="24"/>
          <w:sz w:val="22"/>
          <w:szCs w:val="22"/>
        </w:rPr>
        <w:t xml:space="preserve"> proposals from the division offices all over Region 6</w:t>
      </w:r>
      <w:r w:rsidRPr="00EE2C6E">
        <w:rPr>
          <w:rFonts w:asciiTheme="minorHAnsi" w:eastAsiaTheme="minorEastAsia" w:hAnsi="Century Gothic" w:cstheme="minorBidi"/>
          <w:color w:val="000000" w:themeColor="text1"/>
          <w:kern w:val="24"/>
          <w:sz w:val="22"/>
          <w:szCs w:val="22"/>
        </w:rPr>
        <w:t xml:space="preserve">.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9.   The proposals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will be turned over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to the Regional Committee headed by the Asst. Regional Director for deliberation and giving of scores.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10. The research proposals approved by the RRC will get a BERF funding.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11. The proponent who has the approved research proposal ill personally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receive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a letter from the Regional Director informing his/her approved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 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research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proposal.     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13.  The Division Research Specialist will call-up the proponents with    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  <w:color w:val="EEEBE3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>approved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researches for some briefing on the next step plan/activities.</w:t>
      </w:r>
    </w:p>
    <w:p w:rsidR="001D3C58" w:rsidRPr="00EE2C6E" w:rsidRDefault="001D3C58" w:rsidP="001D3C58">
      <w:pPr>
        <w:ind w:left="540" w:hanging="540"/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</w:rPr>
        <w:t>Special Provisions: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="Times New Roman" w:hAnsi="Tahoma" w:cs="Tahoma"/>
          <w:lang w:eastAsia="en-PH"/>
        </w:rPr>
      </w:pPr>
      <w:proofErr w:type="gramStart"/>
      <w:r w:rsidRPr="00EE2C6E">
        <w:rPr>
          <w:rFonts w:ascii="Tahoma" w:eastAsiaTheme="minorEastAsia" w:hAnsi="Tahoma" w:cs="Tahoma"/>
          <w:b/>
          <w:color w:val="000000" w:themeColor="text1"/>
          <w:kern w:val="24"/>
          <w:lang w:eastAsia="en-PH"/>
        </w:rPr>
        <w:t>1</w:t>
      </w:r>
      <w:r w:rsidRPr="00EE2C6E">
        <w:rPr>
          <w:rFonts w:ascii="Tahoma" w:eastAsiaTheme="minorEastAsia" w:hAnsi="Tahoma" w:cs="Tahoma"/>
          <w:color w:val="000000" w:themeColor="text1"/>
          <w:kern w:val="24"/>
          <w:lang w:eastAsia="en-PH"/>
        </w:rPr>
        <w:t>.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eastAsia="en-PH"/>
        </w:rPr>
        <w:t>Ownership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eastAsia="en-PH"/>
        </w:rPr>
        <w:t xml:space="preserve"> of the research paper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 xml:space="preserve"> - the completed research study funded by BERF shall be co-owned by the author and DepEd. 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="Times New Roman" w:hAnsi="Tahoma" w:cs="Tahoma"/>
          <w:lang w:eastAsia="en-PH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eastAsia="en-PH"/>
        </w:rPr>
        <w:t>2. Plagiarism and fraud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 xml:space="preserve"> – the proponents are required to observe the highest standard of ethics during the preparation and implementation of research proposals. 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eastAsia="en-PH"/>
        </w:rPr>
        <w:t>3. Safety nets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 xml:space="preserve">-  The Letter of Approval or MOA has a provision that in the event that the research proponent failed to complete and submit the deliverables, 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lang w:eastAsia="en-PH"/>
        </w:rPr>
        <w:t>the proponent is required to return the full amount of research fund through direct payment or salary deduction.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 xml:space="preserve"> A format for the letter of approval for schools, division and region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>is attached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  <w:t xml:space="preserve"> as Annex 6 of D.O 43, s. 2015. 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</w:pP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  <w:lang w:eastAsia="en-PH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  <w:lang w:eastAsia="en-PH"/>
        </w:rPr>
        <w:t xml:space="preserve">FOR </w:t>
      </w:r>
      <w:r w:rsidR="001337F2"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  <w:lang w:eastAsia="en-PH"/>
        </w:rPr>
        <w:t>T</w:t>
      </w: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u w:val="single"/>
          <w:lang w:eastAsia="en-PH"/>
        </w:rPr>
        <w:t>HOSE WHO WANTS TO GET FUNDED BY BERF</w:t>
      </w:r>
    </w:p>
    <w:p w:rsidR="001D3C58" w:rsidRPr="00EE2C6E" w:rsidRDefault="001D3C58" w:rsidP="001D3C58">
      <w:pPr>
        <w:spacing w:before="180" w:after="0" w:line="240" w:lineRule="auto"/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lang w:eastAsia="en-PH"/>
        </w:rPr>
      </w:pPr>
    </w:p>
    <w:p w:rsidR="001337F2" w:rsidRPr="00EE2C6E" w:rsidRDefault="001337F2" w:rsidP="001D3C58">
      <w:pPr>
        <w:ind w:left="540" w:hanging="540"/>
        <w:jc w:val="center"/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  <w:t xml:space="preserve">The Budgetary Requirements or the </w:t>
      </w:r>
      <w:r w:rsidR="001D3C58"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  <w:t xml:space="preserve">Cost Estimates: </w:t>
      </w:r>
    </w:p>
    <w:p w:rsidR="001D3C58" w:rsidRPr="00EE2C6E" w:rsidRDefault="001337F2" w:rsidP="001D3C58">
      <w:pPr>
        <w:ind w:left="540" w:hanging="540"/>
        <w:jc w:val="center"/>
        <w:rPr>
          <w:rFonts w:ascii="Tahoma" w:hAnsi="Tahoma" w:cs="Tahoma"/>
          <w:b/>
          <w:u w:val="single"/>
        </w:rPr>
      </w:pP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  <w:t>The</w:t>
      </w:r>
      <w:r w:rsidR="001D3C58"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  <w:t xml:space="preserve"> eligible expenses</w:t>
      </w:r>
      <w:r w:rsidRPr="00EE2C6E">
        <w:rPr>
          <w:rFonts w:ascii="Tahoma" w:eastAsiaTheme="minorEastAsia" w:hAnsi="Tahoma" w:cs="Tahoma"/>
          <w:b/>
          <w:color w:val="000000" w:themeColor="text1"/>
          <w:kern w:val="24"/>
          <w:position w:val="1"/>
          <w:u w:val="single"/>
        </w:rPr>
        <w:t xml:space="preserve"> are the following: </w:t>
      </w: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jc w:val="center"/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</w:pPr>
    </w:p>
    <w:p w:rsidR="001D3C58" w:rsidRPr="00EE2C6E" w:rsidRDefault="001D3C58" w:rsidP="001D3C58">
      <w:pPr>
        <w:pStyle w:val="NormalWeb"/>
        <w:numPr>
          <w:ilvl w:val="0"/>
          <w:numId w:val="15"/>
        </w:numPr>
        <w:spacing w:before="180" w:beforeAutospacing="0" w:after="0" w:afterAutospacing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lastRenderedPageBreak/>
        <w:t>Travel expenses</w:t>
      </w:r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Reproduction of manuscript, survey questionnaires, other documents pertaining to research project</w:t>
      </w:r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Supplies/Materials – coupon bonds, manila paper, </w:t>
      </w:r>
      <w:proofErr w:type="spell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cartolina</w:t>
      </w:r>
      <w:proofErr w:type="spell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, ink</w:t>
      </w:r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Focus Group Discussion food for respondents/participants – at least 20 </w:t>
      </w:r>
      <w:proofErr w:type="spell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pax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Lunch – 80 pesos per </w:t>
      </w:r>
      <w:proofErr w:type="spell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pax</w:t>
      </w:r>
      <w:proofErr w:type="spell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and 50 pesos for snacks</w:t>
      </w:r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Binding</w:t>
      </w:r>
    </w:p>
    <w:p w:rsidR="001D3C58" w:rsidRPr="00EE2C6E" w:rsidRDefault="001D3C58" w:rsidP="001D3C58">
      <w:pPr>
        <w:pStyle w:val="ListParagraph"/>
        <w:numPr>
          <w:ilvl w:val="0"/>
          <w:numId w:val="16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5"/>
        </w:numPr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Note: All expenses must have an official receipt for liquidation purposes</w:t>
      </w:r>
      <w:r w:rsidRPr="00EE2C6E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</w:p>
    <w:p w:rsidR="001D3C58" w:rsidRPr="00EE2C6E" w:rsidRDefault="001D3C58" w:rsidP="001D3C58">
      <w:pPr>
        <w:ind w:left="540" w:hanging="540"/>
        <w:jc w:val="both"/>
        <w:rPr>
          <w:rFonts w:ascii="Tahoma" w:hAnsi="Tahoma" w:cs="Tahoma"/>
        </w:rPr>
      </w:pPr>
    </w:p>
    <w:p w:rsidR="001D3C58" w:rsidRPr="00EE2C6E" w:rsidRDefault="001D3C58" w:rsidP="001D3C58">
      <w:pPr>
        <w:spacing w:line="240" w:lineRule="auto"/>
        <w:ind w:left="540" w:hanging="540"/>
        <w:jc w:val="center"/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  <w:t>Non-Eligible activities and expenditures</w:t>
      </w:r>
    </w:p>
    <w:p w:rsidR="001D3C58" w:rsidRPr="00EE2C6E" w:rsidRDefault="001D3C58" w:rsidP="001D3C58">
      <w:pPr>
        <w:spacing w:line="240" w:lineRule="auto"/>
        <w:ind w:left="540" w:hanging="540"/>
        <w:jc w:val="center"/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  <w:t>(</w:t>
      </w:r>
      <w:proofErr w:type="gramStart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  <w:t>Cost  Estimates</w:t>
      </w:r>
      <w:proofErr w:type="gramEnd"/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  <w:position w:val="1"/>
          <w:u w:val="single"/>
        </w:rPr>
        <w:t>)</w:t>
      </w:r>
    </w:p>
    <w:p w:rsidR="001D3C58" w:rsidRPr="00EE2C6E" w:rsidRDefault="001D3C58" w:rsidP="001D3C58">
      <w:pPr>
        <w:ind w:left="540" w:hanging="540"/>
        <w:jc w:val="both"/>
        <w:rPr>
          <w:rFonts w:ascii="Tahoma" w:eastAsiaTheme="minorEastAsia" w:hAnsi="Tahoma" w:cs="Tahoma"/>
          <w:bCs/>
          <w:color w:val="000000" w:themeColor="text1"/>
          <w:kern w:val="24"/>
          <w:position w:val="1"/>
        </w:rPr>
      </w:pPr>
    </w:p>
    <w:p w:rsidR="001D3C58" w:rsidRPr="00EE2C6E" w:rsidRDefault="001D3C58" w:rsidP="001D3C58">
      <w:pPr>
        <w:pStyle w:val="ListParagraph"/>
        <w:ind w:left="540" w:hanging="540"/>
        <w:jc w:val="both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         The implementation of approved research proposals to be funded under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BERF which will be undertaken by a </w:t>
      </w:r>
      <w:proofErr w:type="spell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Deped</w:t>
      </w:r>
      <w:proofErr w:type="spellEnd"/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personnel at all levels shall be guided by the existing auditing and accounting rules and regulations. Specifically, the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research fund shall 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  <w:u w:val="single"/>
        </w:rPr>
        <w:t>not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be used by the following items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: </w:t>
      </w: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1.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equipment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  <w:t xml:space="preserve">                                    6. office rental</w:t>
      </w: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2. </w:t>
      </w:r>
      <w:proofErr w:type="gramStart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software</w:t>
      </w:r>
      <w:proofErr w:type="gramEnd"/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  <w:t xml:space="preserve">                   7. overseas travel</w:t>
      </w: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ab/>
      </w: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3. honorarium for resource persons</w:t>
      </w: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rFonts w:ascii="Tahoma" w:hAnsi="Tahoma" w:cs="Tahoma"/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4. token</w:t>
      </w:r>
    </w:p>
    <w:p w:rsidR="001D3C58" w:rsidRPr="00EE2C6E" w:rsidRDefault="001D3C58" w:rsidP="001D3C58">
      <w:pPr>
        <w:pStyle w:val="ListParagraph"/>
        <w:numPr>
          <w:ilvl w:val="0"/>
          <w:numId w:val="17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>5. utilities</w:t>
      </w:r>
    </w:p>
    <w:p w:rsidR="001D3C58" w:rsidRPr="00EE2C6E" w:rsidRDefault="001D3C58" w:rsidP="001D3C58">
      <w:pPr>
        <w:ind w:left="540" w:hanging="540"/>
        <w:rPr>
          <w:rFonts w:ascii="Tahoma" w:hAnsi="Tahoma" w:cs="Tahoma"/>
        </w:rPr>
      </w:pPr>
    </w:p>
    <w:p w:rsidR="001D3C58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EE2C6E" w:rsidRPr="00EE2C6E" w:rsidRDefault="00EE2C6E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ind w:left="540" w:hanging="540"/>
        <w:jc w:val="center"/>
        <w:rPr>
          <w:rFonts w:ascii="Tahoma" w:eastAsiaTheme="minorEastAsia" w:hAnsi="Tahoma" w:cs="Tahoma"/>
          <w:color w:val="000000" w:themeColor="text1"/>
          <w:kern w:val="24"/>
        </w:rPr>
      </w:pPr>
      <w:r w:rsidRPr="00EE2C6E">
        <w:rPr>
          <w:rFonts w:ascii="Tahoma" w:eastAsiaTheme="minorEastAsia" w:hAnsi="Tahoma" w:cs="Tahoma"/>
          <w:b/>
          <w:bCs/>
          <w:color w:val="000000" w:themeColor="text1"/>
          <w:kern w:val="24"/>
        </w:rPr>
        <w:lastRenderedPageBreak/>
        <w:t>Composition of Schools Division Research Committee (SDRC</w:t>
      </w:r>
      <w:r w:rsidRPr="00EE2C6E">
        <w:rPr>
          <w:rFonts w:ascii="Tahoma" w:eastAsiaTheme="minorEastAsia" w:hAnsi="Tahoma" w:cs="Tahoma"/>
          <w:color w:val="000000" w:themeColor="text1"/>
          <w:kern w:val="24"/>
        </w:rPr>
        <w:t>)</w:t>
      </w:r>
      <w:r w:rsidRPr="00EE2C6E">
        <w:rPr>
          <w:rFonts w:asciiTheme="majorHAnsi" w:eastAsiaTheme="minorEastAsia" w:hAnsi="Century Gothic"/>
          <w:color w:val="000000" w:themeColor="text1"/>
          <w:kern w:val="24"/>
        </w:rPr>
        <w:br/>
        <w:t xml:space="preserve">                      </w:t>
      </w:r>
      <w:r w:rsidRPr="00EE2C6E">
        <w:rPr>
          <w:rFonts w:ascii="Tahoma" w:eastAsiaTheme="minorEastAsia" w:hAnsi="Tahoma" w:cs="Tahoma"/>
          <w:color w:val="000000" w:themeColor="text1"/>
          <w:kern w:val="24"/>
        </w:rPr>
        <w:t>Based on DepEd Order No. 43</w:t>
      </w:r>
      <w:proofErr w:type="gramStart"/>
      <w:r w:rsidRPr="00EE2C6E">
        <w:rPr>
          <w:rFonts w:ascii="Tahoma" w:eastAsiaTheme="minorEastAsia" w:hAnsi="Tahoma" w:cs="Tahoma"/>
          <w:color w:val="000000" w:themeColor="text1"/>
          <w:kern w:val="24"/>
        </w:rPr>
        <w:t>,s</w:t>
      </w:r>
      <w:proofErr w:type="gramEnd"/>
      <w:r w:rsidRPr="00EE2C6E">
        <w:rPr>
          <w:rFonts w:ascii="Tahoma" w:eastAsiaTheme="minorEastAsia" w:hAnsi="Tahoma" w:cs="Tahoma"/>
          <w:color w:val="000000" w:themeColor="text1"/>
          <w:kern w:val="24"/>
        </w:rPr>
        <w:t>. of 2015</w:t>
      </w:r>
    </w:p>
    <w:p w:rsidR="001D3C58" w:rsidRPr="00EE2C6E" w:rsidRDefault="001D3C58" w:rsidP="001D3C58">
      <w:pPr>
        <w:ind w:left="540" w:hanging="540"/>
        <w:jc w:val="right"/>
        <w:rPr>
          <w:rFonts w:ascii="Tahoma" w:eastAsiaTheme="minorEastAsia" w:hAnsi="Tahoma" w:cs="Tahoma"/>
          <w:color w:val="000000" w:themeColor="text1"/>
          <w:kern w:val="24"/>
        </w:rPr>
      </w:pPr>
    </w:p>
    <w:p w:rsidR="001D3C58" w:rsidRPr="00EE2C6E" w:rsidRDefault="001D3C58" w:rsidP="001D3C58">
      <w:pPr>
        <w:spacing w:after="0" w:line="240" w:lineRule="auto"/>
        <w:ind w:left="540" w:hanging="540"/>
        <w:rPr>
          <w:color w:val="EEEBE3"/>
        </w:rPr>
      </w:pPr>
      <w:proofErr w:type="gramStart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Chairman</w:t>
      </w:r>
      <w:proofErr w:type="gramEnd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ab/>
      </w:r>
      <w:proofErr w:type="spellStart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Nicasio</w:t>
      </w:r>
      <w:proofErr w:type="spellEnd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 xml:space="preserve"> S. Frio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Assistant Schools Division Superintendent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Co-Chairmen  Marlon P.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Destreza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Chief, School Governance and Operations Division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Segundina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 F.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Dollete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Chief, Curriculum Implementation Division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 </w:t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Advisers:  Salvador O.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Ochavo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, Jr.,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, CESO V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Schools Division Superintendent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Marggie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 A.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Obligacion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, PhD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Senior Education Program Specialist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Planning &amp; Research</w:t>
      </w:r>
    </w:p>
    <w:p w:rsidR="001D3C58" w:rsidRPr="00EE2C6E" w:rsidRDefault="001D3C58" w:rsidP="001D3C58">
      <w:pPr>
        <w:pStyle w:val="ListParagraph"/>
        <w:numPr>
          <w:ilvl w:val="0"/>
          <w:numId w:val="9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CID Representatives: </w:t>
      </w: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  <w:t>Sephora M. Roldan</w:t>
      </w: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(AP/</w:t>
      </w:r>
      <w:proofErr w:type="spellStart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Hekasi</w:t>
      </w:r>
      <w:proofErr w:type="spellEnd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)</w:t>
      </w: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</w:r>
      <w:proofErr w:type="spellStart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Elenia</w:t>
      </w:r>
      <w:proofErr w:type="spellEnd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 P. </w:t>
      </w:r>
      <w:proofErr w:type="spellStart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Baranda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(Math)</w:t>
      </w: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                          </w:t>
      </w:r>
    </w:p>
    <w:p w:rsidR="001D3C58" w:rsidRPr="00EE2C6E" w:rsidRDefault="001D3C58" w:rsidP="001D3C58">
      <w:pPr>
        <w:pStyle w:val="ListParagraph"/>
        <w:numPr>
          <w:ilvl w:val="0"/>
          <w:numId w:val="10"/>
        </w:numPr>
        <w:ind w:left="540" w:hanging="540"/>
        <w:rPr>
          <w:rFonts w:asciiTheme="minorHAnsi" w:hAnsiTheme="minorHAnsi" w:cstheme="minorHAnsi"/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                          Rolando </w:t>
      </w:r>
      <w:proofErr w:type="spellStart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Jamora</w:t>
      </w:r>
      <w:proofErr w:type="spellEnd"/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>, PhD</w:t>
      </w:r>
    </w:p>
    <w:p w:rsidR="001D3C58" w:rsidRPr="00EE2C6E" w:rsidRDefault="001D3C58" w:rsidP="001D3C58">
      <w:pPr>
        <w:pStyle w:val="NormalWeb"/>
        <w:spacing w:beforeAutospacing="0" w:after="120" w:afterAutospacing="0"/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EE2C6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US"/>
        </w:rPr>
        <w:t xml:space="preserve">                                       EPS -TLE</w:t>
      </w:r>
    </w:p>
    <w:p w:rsidR="001D3C58" w:rsidRPr="00EE2C6E" w:rsidRDefault="001D3C58" w:rsidP="001D3C58">
      <w:pPr>
        <w:pStyle w:val="NormalWeb"/>
        <w:spacing w:beforeAutospacing="0" w:after="0" w:afterAutospacing="0"/>
        <w:ind w:left="540" w:hanging="540"/>
        <w:rPr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Andres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Quiachon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(Science)</w:t>
      </w:r>
    </w:p>
    <w:p w:rsidR="001D3C58" w:rsidRPr="00EE2C6E" w:rsidRDefault="001D3C58" w:rsidP="001D3C58">
      <w:pPr>
        <w:pStyle w:val="ListParagraph"/>
        <w:numPr>
          <w:ilvl w:val="0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</w:p>
    <w:p w:rsidR="001D3C58" w:rsidRPr="00EE2C6E" w:rsidRDefault="001D3C58" w:rsidP="001D3C58">
      <w:pPr>
        <w:pStyle w:val="ListParagraph"/>
        <w:numPr>
          <w:ilvl w:val="2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Alan Vincent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Altamia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EsP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)</w:t>
      </w:r>
    </w:p>
    <w:p w:rsidR="001D3C58" w:rsidRPr="00EE2C6E" w:rsidRDefault="001D3C58" w:rsidP="001D3C58">
      <w:pPr>
        <w:pStyle w:val="ListParagraph"/>
        <w:numPr>
          <w:ilvl w:val="0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Merlie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 J. Rubio,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1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(Filipino)</w:t>
      </w: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line="240" w:lineRule="auto"/>
        <w:ind w:left="540" w:hanging="540"/>
        <w:rPr>
          <w:rFonts w:eastAsiaTheme="minorEastAsia" w:hAnsi="Century Gothic"/>
          <w:b/>
          <w:bCs/>
          <w:color w:val="000000" w:themeColor="text1"/>
          <w:kern w:val="24"/>
          <w:lang w:val="en-US"/>
        </w:rPr>
      </w:pPr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Shirley A. De Juan</w:t>
      </w:r>
    </w:p>
    <w:p w:rsidR="001D3C58" w:rsidRPr="00EE2C6E" w:rsidRDefault="001D3C58" w:rsidP="001D3C58">
      <w:pPr>
        <w:spacing w:line="240" w:lineRule="auto"/>
        <w:ind w:left="540" w:hanging="540"/>
        <w:rPr>
          <w:b/>
          <w:color w:val="EEEBE3"/>
        </w:rPr>
      </w:pPr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EPS - LRMDS</w:t>
      </w:r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 xml:space="preserve">Ruth C.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Gervero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(ALS/SPED)</w:t>
      </w:r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 </w:t>
      </w:r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Ronie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Reteracion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  <w:t>Education Program Supervisor (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Mapeh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)</w:t>
      </w:r>
    </w:p>
    <w:p w:rsidR="001D3C58" w:rsidRPr="00EE2C6E" w:rsidRDefault="001D3C58" w:rsidP="001D3C58">
      <w:pPr>
        <w:pStyle w:val="ListParagraph"/>
        <w:numPr>
          <w:ilvl w:val="0"/>
          <w:numId w:val="12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 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lastRenderedPageBreak/>
        <w:t xml:space="preserve">Finance Unit Representative: 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 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Atty. Benjie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Doce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, CPA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Accountant 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 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Secretariat:   School Governance &amp; Operations Division (SGOD)</w:t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ab/>
      </w: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Edna B.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Azcarraga</w:t>
      </w:r>
      <w:proofErr w:type="spellEnd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, 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EdD</w:t>
      </w:r>
      <w:proofErr w:type="spellEnd"/>
    </w:p>
    <w:p w:rsidR="001D3C58" w:rsidRPr="00EE2C6E" w:rsidRDefault="001D3C58" w:rsidP="001D3C58">
      <w:pPr>
        <w:pStyle w:val="ListParagraph"/>
        <w:numPr>
          <w:ilvl w:val="0"/>
          <w:numId w:val="13"/>
        </w:numPr>
        <w:ind w:left="540" w:hanging="540"/>
        <w:rPr>
          <w:b/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Education Program Supervisor (SGOD)</w:t>
      </w: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pStyle w:val="NormalWeb"/>
        <w:spacing w:before="180" w:beforeAutospacing="0" w:after="0" w:afterAutospacing="0"/>
        <w:ind w:left="540" w:hanging="540"/>
        <w:rPr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Ronald </w:t>
      </w:r>
      <w:proofErr w:type="spellStart"/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Dile</w:t>
      </w:r>
      <w:proofErr w:type="spellEnd"/>
    </w:p>
    <w:p w:rsidR="001D3C58" w:rsidRPr="00EE2C6E" w:rsidRDefault="001D3C58" w:rsidP="001D3C58">
      <w:pPr>
        <w:pStyle w:val="ListParagraph"/>
        <w:numPr>
          <w:ilvl w:val="2"/>
          <w:numId w:val="14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>SEPS, M &amp; E</w:t>
      </w:r>
    </w:p>
    <w:p w:rsidR="001D3C58" w:rsidRPr="00EE2C6E" w:rsidRDefault="001D3C58" w:rsidP="001D3C58">
      <w:pPr>
        <w:pStyle w:val="ListParagraph"/>
        <w:numPr>
          <w:ilvl w:val="2"/>
          <w:numId w:val="14"/>
        </w:numPr>
        <w:ind w:left="540" w:hanging="540"/>
        <w:rPr>
          <w:color w:val="EEEBE3"/>
          <w:sz w:val="22"/>
          <w:szCs w:val="22"/>
        </w:rPr>
      </w:pPr>
    </w:p>
    <w:p w:rsidR="001D3C58" w:rsidRPr="00EE2C6E" w:rsidRDefault="001D3C58" w:rsidP="001D3C58">
      <w:pPr>
        <w:ind w:left="540" w:hanging="540"/>
        <w:rPr>
          <w:color w:val="EEEBE3"/>
        </w:rPr>
      </w:pPr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ab/>
        <w:t xml:space="preserve"> </w:t>
      </w:r>
      <w:proofErr w:type="spellStart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Immaculada</w:t>
      </w:r>
      <w:proofErr w:type="spellEnd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Amores</w:t>
      </w:r>
      <w:proofErr w:type="spellEnd"/>
      <w:r w:rsidRPr="00EE2C6E">
        <w:rPr>
          <w:rFonts w:eastAsiaTheme="minorEastAsia" w:hAnsi="Century Gothic"/>
          <w:b/>
          <w:bCs/>
          <w:color w:val="000000" w:themeColor="text1"/>
          <w:kern w:val="24"/>
          <w:lang w:val="en-US"/>
        </w:rPr>
        <w:t>, PhD</w:t>
      </w:r>
    </w:p>
    <w:p w:rsidR="001D3C58" w:rsidRPr="00EE2C6E" w:rsidRDefault="001D3C58" w:rsidP="001D3C58">
      <w:pPr>
        <w:pStyle w:val="ListParagraph"/>
        <w:numPr>
          <w:ilvl w:val="2"/>
          <w:numId w:val="14"/>
        </w:numPr>
        <w:ind w:left="540" w:hanging="540"/>
        <w:rPr>
          <w:color w:val="EEEBE3"/>
          <w:sz w:val="22"/>
          <w:szCs w:val="22"/>
        </w:rPr>
      </w:pPr>
      <w:r w:rsidRPr="00EE2C6E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  <w:lang w:val="en-US"/>
        </w:rPr>
        <w:t xml:space="preserve"> SEPS, HRTD</w:t>
      </w: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120" w:line="240" w:lineRule="auto"/>
        <w:ind w:left="540" w:hanging="540"/>
        <w:jc w:val="both"/>
        <w:rPr>
          <w:rFonts w:cstheme="minorHAnsi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1D3C58" w:rsidRPr="00EE2C6E" w:rsidRDefault="001D3C58" w:rsidP="001D3C58">
      <w:pPr>
        <w:spacing w:after="0" w:line="240" w:lineRule="auto"/>
        <w:ind w:left="540" w:hanging="540"/>
        <w:jc w:val="both"/>
        <w:rPr>
          <w:rFonts w:ascii="Tahoma" w:hAnsi="Tahoma" w:cs="Tahoma"/>
          <w:b/>
        </w:rPr>
      </w:pPr>
    </w:p>
    <w:p w:rsidR="002D7D60" w:rsidRPr="00EE2C6E" w:rsidRDefault="002D7D60">
      <w:pPr>
        <w:ind w:left="540" w:hanging="540"/>
      </w:pPr>
    </w:p>
    <w:sectPr w:rsidR="002D7D60" w:rsidRPr="00EE2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A1C"/>
    <w:multiLevelType w:val="hybridMultilevel"/>
    <w:tmpl w:val="7C92647A"/>
    <w:lvl w:ilvl="0" w:tplc="13BED1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3C8F96E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B538982E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8F1ED774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370D3F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30AEEBEA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1E1EDF64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D2EB494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42A4F87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23D842ED"/>
    <w:multiLevelType w:val="hybridMultilevel"/>
    <w:tmpl w:val="916A0588"/>
    <w:lvl w:ilvl="0" w:tplc="6CD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3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2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6B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F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B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973EA7"/>
    <w:multiLevelType w:val="hybridMultilevel"/>
    <w:tmpl w:val="A4AE46AE"/>
    <w:lvl w:ilvl="0" w:tplc="FCF01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8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67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C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C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C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9A5083"/>
    <w:multiLevelType w:val="hybridMultilevel"/>
    <w:tmpl w:val="E558DD40"/>
    <w:lvl w:ilvl="0" w:tplc="9C1E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CA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8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E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6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466DE3"/>
    <w:multiLevelType w:val="hybridMultilevel"/>
    <w:tmpl w:val="F41A1E5C"/>
    <w:lvl w:ilvl="0" w:tplc="423A32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B50584"/>
    <w:multiLevelType w:val="hybridMultilevel"/>
    <w:tmpl w:val="A57C1EC4"/>
    <w:lvl w:ilvl="0" w:tplc="9AEE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8E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2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3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0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032B6"/>
    <w:multiLevelType w:val="hybridMultilevel"/>
    <w:tmpl w:val="3B3E2BD8"/>
    <w:lvl w:ilvl="0" w:tplc="4926B2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5450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CD56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046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6CFE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57500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B54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1318CA5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421E0A0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7" w15:restartNumberingAfterBreak="0">
    <w:nsid w:val="502D02C2"/>
    <w:multiLevelType w:val="hybridMultilevel"/>
    <w:tmpl w:val="08EED402"/>
    <w:lvl w:ilvl="0" w:tplc="117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6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C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004684"/>
    <w:multiLevelType w:val="hybridMultilevel"/>
    <w:tmpl w:val="E36A0E6E"/>
    <w:lvl w:ilvl="0" w:tplc="09705B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54B9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FEEF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2203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DCC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02A6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26D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F4C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A6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C6555C9"/>
    <w:multiLevelType w:val="hybridMultilevel"/>
    <w:tmpl w:val="882449D6"/>
    <w:lvl w:ilvl="0" w:tplc="E7CE7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85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CC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C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2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5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C0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D5109B"/>
    <w:multiLevelType w:val="hybridMultilevel"/>
    <w:tmpl w:val="6EB69474"/>
    <w:lvl w:ilvl="0" w:tplc="B6F0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E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E7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6C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D47099"/>
    <w:multiLevelType w:val="hybridMultilevel"/>
    <w:tmpl w:val="EC343FE6"/>
    <w:lvl w:ilvl="0" w:tplc="E956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8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94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C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00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E1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E4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D65467"/>
    <w:multiLevelType w:val="hybridMultilevel"/>
    <w:tmpl w:val="64D82A2A"/>
    <w:lvl w:ilvl="0" w:tplc="EF92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3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88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6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A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E8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3A133B"/>
    <w:multiLevelType w:val="hybridMultilevel"/>
    <w:tmpl w:val="BC28CF1E"/>
    <w:lvl w:ilvl="0" w:tplc="A39C04E2">
      <w:start w:val="1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2D7D03"/>
    <w:multiLevelType w:val="hybridMultilevel"/>
    <w:tmpl w:val="3DCA035C"/>
    <w:lvl w:ilvl="0" w:tplc="3EC22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AD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03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EB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CE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43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A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E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F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EC28DE"/>
    <w:multiLevelType w:val="hybridMultilevel"/>
    <w:tmpl w:val="F080EFD6"/>
    <w:lvl w:ilvl="0" w:tplc="68F6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2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A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4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28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8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335029"/>
    <w:multiLevelType w:val="hybridMultilevel"/>
    <w:tmpl w:val="07D4B474"/>
    <w:lvl w:ilvl="0" w:tplc="437EA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A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09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0F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4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8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58"/>
    <w:rsid w:val="001337F2"/>
    <w:rsid w:val="001D3C58"/>
    <w:rsid w:val="002D7D60"/>
    <w:rsid w:val="00E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C86F"/>
  <w15:chartTrackingRefBased/>
  <w15:docId w15:val="{956DFCDC-9A2E-4926-B731-EBAD2DEA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1D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3</cp:revision>
  <dcterms:created xsi:type="dcterms:W3CDTF">2019-11-15T04:03:00Z</dcterms:created>
  <dcterms:modified xsi:type="dcterms:W3CDTF">2019-11-18T00:51:00Z</dcterms:modified>
</cp:coreProperties>
</file>